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b/>
          <w:b/>
          <w:bCs/>
        </w:rPr>
      </w:pPr>
      <w:bookmarkStart w:id="0" w:name="_GoBack"/>
      <w:bookmarkEnd w:id="0"/>
      <w:r>
        <w:rPr>
          <w:b/>
          <w:bCs/>
        </w:rPr>
        <w:t>Vedecko/umelecko-pedagogická charakteristika osoby</w:t>
      </w:r>
      <w:r>
        <w:rPr>
          <w:rStyle w:val="FootnoteCharacters"/>
          <w:rStyle w:val="Ukotvenpoznmkypodarou"/>
          <w:b/>
          <w:bCs/>
        </w:rPr>
        <w:footnoteReference w:id="2"/>
      </w:r>
    </w:p>
    <w:p>
      <w:pPr>
        <w:pStyle w:val="Normal"/>
        <w:spacing w:before="0" w:after="0"/>
        <w:rPr>
          <w:rFonts w:cs="Calibri" w:cstheme="minorHAnsi"/>
          <w:bCs/>
          <w:sz w:val="16"/>
          <w:szCs w:val="16"/>
        </w:rPr>
      </w:pPr>
      <w:r>
        <w:rPr>
          <w:rFonts w:cs="Calibri" w:cstheme="minorHAnsi"/>
          <w:bCs/>
          <w:sz w:val="18"/>
          <w:szCs w:val="24"/>
        </w:rPr>
        <w:t>Dátum poslednej aktualizácie</w:t>
      </w:r>
      <w:r>
        <w:rPr>
          <w:rFonts w:cs="Calibri" w:cstheme="minorHAnsi"/>
          <w:bCs/>
          <w:sz w:val="16"/>
          <w:szCs w:val="16"/>
        </w:rPr>
        <w:t xml:space="preserve">:  </w:t>
      </w:r>
    </w:p>
    <w:p>
      <w:pPr>
        <w:pStyle w:val="Normal"/>
        <w:spacing w:before="0" w:after="0"/>
        <w:rPr>
          <w:rFonts w:cs="Calibri" w:cstheme="minorHAnsi"/>
          <w:bCs/>
          <w:sz w:val="14"/>
          <w:szCs w:val="14"/>
        </w:rPr>
      </w:pPr>
      <w:r>
        <w:rPr>
          <w:rFonts w:cs="Calibri" w:cstheme="minorHAnsi"/>
          <w:bCs/>
          <w:sz w:val="14"/>
          <w:szCs w:val="14"/>
        </w:rPr>
      </w:r>
    </w:p>
    <w:tbl>
      <w:tblPr>
        <w:tblStyle w:val="PlainTable2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303"/>
        <w:gridCol w:w="674"/>
        <w:gridCol w:w="93"/>
        <w:gridCol w:w="41"/>
        <w:gridCol w:w="1495"/>
        <w:gridCol w:w="213"/>
        <w:gridCol w:w="1321"/>
        <w:gridCol w:w="64"/>
        <w:gridCol w:w="705"/>
        <w:gridCol w:w="230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I. Základné údaje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I.1 Priezvisko, meno, tituly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Tonzar, David, Doc., ThDr., Th. D., Dr. h. c.</w:t>
            </w:r>
          </w:p>
        </w:tc>
      </w:tr>
      <w:tr>
        <w:trPr/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I.2 Rok narodenia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1972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I.3 Názov a adresa pracoviska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Vysoká škola zdravotnictví a sociální práce sv. Alžběty Bratislava, Praha</w:t>
            </w:r>
          </w:p>
        </w:tc>
      </w:tr>
      <w:tr>
        <w:trPr/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 w:val="false"/>
                <w:sz w:val="16"/>
                <w:lang w:val="en-US"/>
              </w:rPr>
            </w:pPr>
            <w:r>
              <w:rPr>
                <w:rFonts w:cs="Calibri" w:cstheme="minorHAnsi"/>
                <w:b w:val="false"/>
                <w:bCs w:val="false"/>
                <w:sz w:val="16"/>
              </w:rPr>
              <w:t>1.4 Funkcia (pracovná pozícia)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docent, vedoucí det. pracoviště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 xml:space="preserve">I.5 E-mailová adresa 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d.tonzar@post.cz</w:t>
            </w:r>
          </w:p>
        </w:tc>
      </w:tr>
      <w:tr>
        <w:trPr/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I.6 Hyperlink na záznam osoby v Registri zamestnancov vysokých škôl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I.7 Názov študijného odboru, v ktorom pôsobí na vysokej škole</w:t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sociální práce, misijní a charitativní práce</w:t>
            </w:r>
          </w:p>
        </w:tc>
      </w:tr>
      <w:tr>
        <w:trPr/>
        <w:tc>
          <w:tcPr>
            <w:tcW w:w="4819" w:type="dxa"/>
            <w:gridSpan w:val="6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I.8 ORCID iD</w:t>
            </w:r>
            <w:r>
              <w:rPr>
                <w:rStyle w:val="FootnoteCharacters"/>
                <w:rStyle w:val="Ukotvenpoznmkypodarou"/>
                <w:b/>
                <w:bCs/>
                <w:sz w:val="16"/>
                <w:szCs w:val="16"/>
              </w:rPr>
              <w:footnoteReference w:id="3"/>
            </w:r>
          </w:p>
        </w:tc>
        <w:tc>
          <w:tcPr>
            <w:tcW w:w="4392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Vysokoškolské vzdelanie a ďalší kvalifikačný rast</w:t>
            </w:r>
          </w:p>
        </w:tc>
      </w:tr>
      <w:tr>
        <w:trPr>
          <w:trHeight w:val="50" w:hRule="atLeast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Názov vysokej školy alebo inštitúcie</w:t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 xml:space="preserve">Rok 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Odbor a program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Vysokoškolské vzdelanie prvého stupňa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Univerzita Karlova v Praze</w:t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1994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husitská teologie, religionistika a filozofie</w:t>
            </w:r>
          </w:p>
        </w:tc>
      </w:tr>
      <w:tr>
        <w:trPr>
          <w:trHeight w:val="48" w:hRule="atLeast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Vysokoškolské vzdelanie druhého stupňa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Univerzita Karlova v Praze</w:t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1996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husitská teologie, religionistika a filozofie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Vysokoškolské vzdelanie tretieho stupňa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Univerzita Karlova v Praze</w:t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2002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teologie</w:t>
            </w:r>
          </w:p>
        </w:tc>
      </w:tr>
      <w:tr>
        <w:trPr>
          <w:trHeight w:val="48" w:hRule="atLeast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Titul docent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Vysoká škola zdravotnictví a sociální práce sv. Alžběty Bratislava</w:t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2009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sociální práce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Titul profesor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</w:trPr>
        <w:tc>
          <w:tcPr>
            <w:tcW w:w="2977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Titul DrSc.</w:t>
            </w:r>
          </w:p>
        </w:tc>
        <w:tc>
          <w:tcPr>
            <w:tcW w:w="3227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  <w:tc>
          <w:tcPr>
            <w:tcW w:w="705" w:type="dxa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Súčasné a predchádzajúce zamestnania</w:t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  <w:szCs w:val="16"/>
              </w:rPr>
            </w:pPr>
            <w:r>
              <w:rPr>
                <w:rFonts w:cs="Calibri" w:cstheme="minorHAnsi"/>
                <w:b w:val="false"/>
                <w:bCs/>
                <w:sz w:val="16"/>
                <w:szCs w:val="16"/>
              </w:rPr>
              <w:t>Zamestnanie/funkcia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Inštitúcia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 xml:space="preserve">Časové vymedzenie 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pomocná vědecká síla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 xml:space="preserve">Univerzita Karlova 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1994 - 1996</w:t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odborný asistent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Univerzita Karlova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1996 - 2002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ředitel úřadu pražského biskupa</w:t>
            </w: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, biskup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Církev československá husitská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1999 - 2008</w:t>
            </w:r>
            <w:r>
              <w:rPr>
                <w:rFonts w:cs="Calibri" w:cstheme="minorHAnsi"/>
                <w:b/>
                <w:sz w:val="18"/>
                <w:szCs w:val="18"/>
              </w:rPr>
              <w:t>, 2008 - dosud</w:t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odborný asistent, docent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Vysoká škola zdravotnictví a sociální práce sv. Alžběty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</w:t>
            </w:r>
            <w:r>
              <w:rPr>
                <w:rFonts w:cs="Calibri" w:cstheme="minorHAnsi"/>
                <w:b/>
                <w:sz w:val="18"/>
                <w:szCs w:val="18"/>
              </w:rPr>
              <w:t xml:space="preserve">5 </w:t>
            </w:r>
            <w:r>
              <w:rPr>
                <w:rFonts w:cs="Calibr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cs="Calibri" w:cstheme="minorHAnsi"/>
                <w:b/>
                <w:sz w:val="18"/>
                <w:szCs w:val="18"/>
              </w:rPr>
              <w:t>dosud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Rozvoj pedagogických, odborných, jazykových, digitálnych a iných zručností</w:t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  <w:szCs w:val="16"/>
              </w:rPr>
            </w:pPr>
            <w:r>
              <w:rPr>
                <w:rFonts w:cs="Calibri" w:cstheme="minorHAnsi"/>
                <w:b w:val="false"/>
                <w:bCs/>
                <w:sz w:val="16"/>
                <w:szCs w:val="16"/>
              </w:rPr>
              <w:t>Popis aktivity/názov kurzu/iné</w:t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Názov inštitúcie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Rok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3111" w:type="dxa"/>
            <w:gridSpan w:val="4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29" w:type="dxa"/>
            <w:gridSpan w:val="3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910" w:leader="none"/>
                <w:tab w:val="left" w:pos="2040" w:leader="none"/>
              </w:tabs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ab/>
              <w:tab/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Prehľad aktivít v rámci pedagogického pôsobenia na vysokej škole</w:t>
            </w:r>
          </w:p>
        </w:tc>
      </w:tr>
      <w:tr>
        <w:trPr>
          <w:trHeight w:val="48" w:hRule="atLeast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V.1 Prehľad zabezpečovaných profilových študijných predmetov v aktuálnom akademickom roku podľa študijných programov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Názov profilového predmetu</w:t>
            </w:r>
          </w:p>
        </w:tc>
        <w:tc>
          <w:tcPr>
            <w:tcW w:w="2516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program</w:t>
            </w:r>
          </w:p>
        </w:tc>
        <w:tc>
          <w:tcPr>
            <w:tcW w:w="2090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Stupeň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odbor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základy teologie, dějiny dogmatu, typologie církví a náb. společností</w:t>
            </w:r>
          </w:p>
        </w:tc>
        <w:tc>
          <w:tcPr>
            <w:tcW w:w="2516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práce, misijní a charitativní práce</w:t>
            </w:r>
          </w:p>
        </w:tc>
        <w:tc>
          <w:tcPr>
            <w:tcW w:w="2090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Bc., Mgr., Ph. D.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práce, misijní a charitativní práce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teologie pro sociální práci</w:t>
            </w:r>
          </w:p>
        </w:tc>
        <w:tc>
          <w:tcPr>
            <w:tcW w:w="2516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</w:t>
            </w:r>
          </w:p>
        </w:tc>
        <w:tc>
          <w:tcPr>
            <w:tcW w:w="2090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Bc.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516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090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516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090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20" w:hRule="atLeast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V.2. Prehľad o zodpovednosti za uskutočňovanie, rozvoj a zabezpečenie kvality študijného programu alebo jeho časti na vysokej škole v aktuálnom akademickom roku</w:t>
            </w:r>
            <w:r>
              <w:rPr>
                <w:rStyle w:val="FootnoteCharacters"/>
                <w:rStyle w:val="Ukotvenpoznmkypodarou"/>
                <w:b/>
                <w:bCs/>
                <w:sz w:val="16"/>
                <w:szCs w:val="16"/>
              </w:rPr>
              <w:footnoteReference w:id="4"/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Názov študijného programu/časti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Stupeň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odbor</w:t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V.3. Prehľad o zodpovednosti za rozvoj a kvalitu odboru habilitačného konania a inauguračného konania v aktuálnom akademickom roku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06" w:type="dxa"/>
            <w:gridSpan w:val="5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Názov odboru habilitačného konania a inauguračného konania</w:t>
            </w:r>
          </w:p>
        </w:tc>
        <w:tc>
          <w:tcPr>
            <w:tcW w:w="4605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odbor, ku ktorému je priradený</w:t>
            </w:r>
          </w:p>
        </w:tc>
      </w:tr>
      <w:tr>
        <w:trPr>
          <w:trHeight w:val="48" w:hRule="atLeast"/>
        </w:trPr>
        <w:tc>
          <w:tcPr>
            <w:tcW w:w="4606" w:type="dxa"/>
            <w:gridSpan w:val="5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sociální práce</w:t>
            </w:r>
          </w:p>
        </w:tc>
        <w:tc>
          <w:tcPr>
            <w:tcW w:w="4605" w:type="dxa"/>
            <w:gridSpan w:val="5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V.4. Prehľad vedených záverečných prác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Bakalárske (prvý stupeň)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Diplomové (druhý stupeň)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Dizertačné (tretí stupeň)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Počet aktuálne vedených prác</w:t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3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5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6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Počet obhájených prác</w:t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15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46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i/>
                <w:i/>
                <w:sz w:val="20"/>
              </w:rPr>
            </w:pPr>
            <w:r>
              <w:rPr>
                <w:rFonts w:cs="Calibri" w:cstheme="minorHAnsi"/>
                <w:bCs/>
                <w:i/>
                <w:sz w:val="20"/>
              </w:rPr>
              <w:t>6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V.5. Prehľad zabezpečovaných ostatných študijných predmetov podľa študijných programov v aktuálnom akademickom roku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Názov študijného predmetu</w:t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program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Stupeň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Študijný odbor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teologie pro sociální práci</w:t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Bc.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</w:t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 xml:space="preserve">základy teologie, dějiny dogmatu, komparativní symbolika, typologie církví a náboženských společností, systematická teologie, </w:t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práce, misijní a charitativní práce</w:t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Bc., Mgr., Ph. D.</w:t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  <w:t>sociální práce, misijní a charitativní práce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</w:trPr>
        <w:tc>
          <w:tcPr>
            <w:tcW w:w="230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2303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3" w:type="dxa"/>
            <w:gridSpan w:val="4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  <w:tc>
          <w:tcPr>
            <w:tcW w:w="2302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6"/>
              </w:rPr>
            </w:pPr>
            <w:r>
              <w:rPr>
                <w:rFonts w:cs="Calibri" w:cstheme="minorHAnsi"/>
                <w:b/>
                <w:sz w:val="16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Prehľad výsledkov tvorivej činnosti</w:t>
            </w:r>
          </w:p>
        </w:tc>
      </w:tr>
      <w:tr>
        <w:trPr>
          <w:trHeight w:val="48" w:hRule="atLeast"/>
        </w:trPr>
        <w:tc>
          <w:tcPr>
            <w:tcW w:w="9211" w:type="dxa"/>
            <w:gridSpan w:val="10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 xml:space="preserve">VI.1 Prehľad výstupov tvorivej činnosti a ohlasov na výstupy tvorivej činnosti 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Celkovo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rFonts w:cs="Calibri" w:cstheme="minorHAnsi"/>
                <w:bCs/>
                <w:sz w:val="16"/>
              </w:rPr>
              <w:t>Za posledných šesť rokov</w:t>
            </w:r>
          </w:p>
        </w:tc>
      </w:tr>
      <w:tr>
        <w:trPr>
          <w:trHeight w:val="315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Počet výstupov tvorivej činnosti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64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14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  <w:highlight w:val="yellow"/>
              </w:rPr>
            </w:pPr>
            <w:r>
              <w:rPr>
                <w:b w:val="false"/>
                <w:bCs w:val="false"/>
                <w:sz w:val="16"/>
                <w:szCs w:val="16"/>
              </w:rPr>
              <w:t>Počet výstupov tvorivej činnosti</w:t>
            </w:r>
            <w:r>
              <w:rPr>
                <w:b w:val="false"/>
                <w:bCs w:val="false"/>
                <w:sz w:val="16"/>
                <w:szCs w:val="16"/>
                <w:highlight w:val="yellow"/>
              </w:rPr>
              <w:t xml:space="preserve"> </w:t>
            </w:r>
            <w:r>
              <w:rPr>
                <w:b w:val="false"/>
                <w:bCs w:val="false"/>
                <w:sz w:val="16"/>
                <w:szCs w:val="16"/>
              </w:rPr>
              <w:t>registrovaných v databázach Web of Science alebo Scopus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Počet ohlasov na výstupy tvorivej činnosti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98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26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Počet ohlasov registrovaných v databázach Web of Science alebo Scopus na výstupy tvorivej činnosti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Počet pozvaných prednášok na medzinárodnej/národnej úrovni</w:t>
            </w:r>
          </w:p>
        </w:tc>
        <w:tc>
          <w:tcPr>
            <w:tcW w:w="3070" w:type="dxa"/>
            <w:gridSpan w:val="4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  <w:i/>
                <w:sz w:val="20"/>
              </w:rPr>
              <w:t>18</w:t>
            </w:r>
            <w:r>
              <w:rPr>
                <w:rFonts w:cs="Calibri" w:cstheme="minorHAnsi"/>
                <w:i/>
                <w:sz w:val="20"/>
              </w:rPr>
              <w:t>/</w:t>
            </w:r>
            <w:r>
              <w:rPr>
                <w:rFonts w:cs="Calibri" w:cstheme="minorHAnsi"/>
                <w:i/>
                <w:sz w:val="20"/>
              </w:rPr>
              <w:t>350</w:t>
            </w:r>
          </w:p>
        </w:tc>
        <w:tc>
          <w:tcPr>
            <w:tcW w:w="3071" w:type="dxa"/>
            <w:gridSpan w:val="3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  <w:i/>
                <w:sz w:val="20"/>
              </w:rPr>
              <w:t>12</w:t>
            </w:r>
            <w:r>
              <w:rPr>
                <w:rFonts w:cs="Calibri" w:cstheme="minorHAnsi"/>
                <w:i/>
                <w:sz w:val="20"/>
              </w:rPr>
              <w:t xml:space="preserve"> /</w:t>
            </w:r>
            <w:r>
              <w:rPr>
                <w:rFonts w:cs="Calibri" w:cstheme="minorHAnsi"/>
                <w:i/>
                <w:sz w:val="20"/>
              </w:rPr>
              <w:t>180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PlainTable2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1"/>
        <w:gridCol w:w="8820"/>
      </w:tblGrid>
      <w:tr>
        <w:trPr>
          <w:trHeight w:val="4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1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/>
                <w:bCs/>
                <w:sz w:val="16"/>
              </w:rPr>
              <w:t>VI.2 Najvýznamnejšie výstupy tvorivej činnosti</w:t>
            </w:r>
            <w:r>
              <w:rPr>
                <w:rStyle w:val="FootnoteCharacters"/>
                <w:rStyle w:val="Ukotvenpoznmkypodarou"/>
                <w:rFonts w:cs="Calibri" w:cstheme="minorHAnsi"/>
                <w:b/>
                <w:bCs/>
                <w:sz w:val="16"/>
              </w:rPr>
              <w:footnoteReference w:id="5"/>
            </w:r>
          </w:p>
        </w:tc>
      </w:tr>
      <w:tr>
        <w:trPr>
          <w:trHeight w:val="249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1.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Pastorační péče o lidi působící v samosprávách obcí</w:t>
            </w:r>
            <w:r>
              <w:rPr>
                <w:rFonts w:cs="Calibri" w:cstheme="minorHAnsi"/>
                <w:i/>
                <w:sz w:val="20"/>
              </w:rPr>
              <w:t>v</w:t>
            </w:r>
            <w:r>
              <w:rPr>
                <w:rFonts w:cs="Calibri" w:cstheme="minorHAnsi"/>
                <w:i/>
                <w:sz w:val="20"/>
              </w:rPr>
              <w:t>a ve státní správě</w:t>
            </w:r>
            <w:r>
              <w:rPr>
                <w:rFonts w:cs="Calibri" w:cstheme="minorHAnsi"/>
                <w:i/>
                <w:sz w:val="20"/>
              </w:rPr>
              <w:t>, str. 281 - 286. In: Poimenika, PASTORAČNÍ SLUŽBA CÍRKVE V KONTEXTU TRADICE A SOUČASNOSTI, str. 355, ISBN 978-80-246-5454-6. Praha. Karolinum. 2024.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2.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Biografický slovník Církve československé husitskké, heslo Karel Bican, str. 53, celkem str. 639. ISBN 978-80-7000-167-7.</w:t>
            </w:r>
            <w:r>
              <w:rPr>
                <w:rFonts w:cs="Calibri" w:cstheme="minorHAnsi"/>
                <w:i/>
                <w:sz w:val="20"/>
              </w:rPr>
              <w:t xml:space="preserve"> Praha. Církev československá husitská. 2020.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3.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 xml:space="preserve">Sociální teolog F. M. Hník. IN: </w:t>
            </w:r>
            <w:r>
              <w:rPr>
                <w:rFonts w:cs="Calibri" w:cstheme="minorHAnsi"/>
                <w:i/>
                <w:sz w:val="20"/>
              </w:rPr>
              <w:t>BIOGRAFICKÝ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SLOVNÍK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ČESKÝCH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ZEMÍ</w:t>
            </w:r>
            <w:r>
              <w:rPr>
                <w:rFonts w:cs="Calibri" w:cstheme="minorHAnsi"/>
                <w:i/>
                <w:sz w:val="20"/>
              </w:rPr>
              <w:t xml:space="preserve">, Hl - Hol. Historický ústav AV ČR, Academia, 2022. ISBN 978-80-200-3385-7. 25. sv., str. 687. 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4.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 xml:space="preserve">Praktický teolog R. Horský. IN: </w:t>
            </w:r>
            <w:r>
              <w:rPr>
                <w:rFonts w:cs="Calibri" w:cstheme="minorHAnsi"/>
                <w:i/>
                <w:sz w:val="20"/>
              </w:rPr>
              <w:t>BIOGRAFICKÝ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SLOVNÍK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ČESKÝCH</w:t>
            </w:r>
            <w:r>
              <w:rPr>
                <w:rFonts w:cs="Calibri" w:cstheme="minorHAnsi"/>
                <w:i/>
                <w:sz w:val="20"/>
              </w:rPr>
              <w:t xml:space="preserve"> </w:t>
            </w:r>
            <w:r>
              <w:rPr>
                <w:rFonts w:cs="Calibri" w:cstheme="minorHAnsi"/>
                <w:i/>
                <w:sz w:val="20"/>
              </w:rPr>
              <w:t>ZEMÍ</w:t>
            </w:r>
            <w:r>
              <w:rPr>
                <w:rFonts w:cs="Calibri" w:cstheme="minorHAnsi"/>
                <w:i/>
                <w:sz w:val="20"/>
              </w:rPr>
              <w:t>, Hom - Hoz. Historický ústav AV ČR, Academia, 2023. 26. sv., str. 186.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5.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 xml:space="preserve">Denní čtení. Praha. 2023. Heslo - výklad - exegeze. </w:t>
            </w:r>
          </w:p>
        </w:tc>
      </w:tr>
    </w:tbl>
    <w:p>
      <w:pPr>
        <w:pStyle w:val="Normal"/>
        <w:spacing w:before="0" w:after="0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Style w:val="PlainTable2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1"/>
        <w:gridCol w:w="8820"/>
      </w:tblGrid>
      <w:tr>
        <w:trPr>
          <w:trHeight w:val="4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1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VI.3 Najvýznamnejšie výstupy tvorivej činnosti za ostatných šesť rokov</w:t>
            </w:r>
            <w:r>
              <w:rPr>
                <w:rStyle w:val="FootnoteCharacters"/>
                <w:rStyle w:val="Ukotvenpoznmkypodarou"/>
                <w:b/>
                <w:bCs/>
                <w:sz w:val="16"/>
                <w:szCs w:val="16"/>
              </w:rPr>
              <w:footnoteReference w:id="6"/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1.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Církev – teologie – sněm. Soubor přednášek z teologické konference v Brně – červen 2014. Vydala Církev československá husitská pro vnitřní potřebu. Praha 2014</w:t>
            </w:r>
            <w:r>
              <w:rPr>
                <w:rFonts w:cs="Calibri" w:cstheme="minorHAnsi"/>
                <w:i/>
                <w:sz w:val="20"/>
              </w:rPr>
              <w:t>.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2.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Církev československá husitská po roce 1989. IN: 90 let Církve československé husitské, Praha 2010.</w:t>
            </w:r>
          </w:p>
        </w:tc>
      </w:tr>
      <w:tr>
        <w:trPr>
          <w:trHeight w:val="30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3.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 xml:space="preserve">Dvě výročí významných osobností CČSH / František M. Hník, Miloslav Kaňák. Český zápas, roč. 85, 7/2005, s. 1 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4.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Historie - paměť národa II. Praha. Husův institut teologických studií. Praha. 2007.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5.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Historie - paměť národa. Praha. Husův institut teologických studií. Praha. 2006.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PlainTable2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1"/>
        <w:gridCol w:w="8820"/>
      </w:tblGrid>
      <w:tr>
        <w:trPr>
          <w:trHeight w:val="4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1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VI.4 Najvýznamnejšie ohlasy na výstupy tvorivej činnosti</w:t>
            </w:r>
            <w:r>
              <w:rPr>
                <w:rStyle w:val="FootnoteCharacters"/>
                <w:rStyle w:val="Ukotvenpoznmkypodarou"/>
                <w:b/>
                <w:bCs/>
                <w:sz w:val="16"/>
                <w:szCs w:val="16"/>
              </w:rPr>
              <w:footnoteReference w:id="7"/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 w:val="false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rFonts w:cs="Calibri" w:cstheme="minorHAnsi"/>
                <w:b w:val="false"/>
                <w:bCs w:val="false"/>
                <w:i/>
                <w:iCs/>
                <w:color w:val="808080" w:themeColor="background1" w:themeShade="80"/>
                <w:sz w:val="20"/>
                <w:szCs w:val="20"/>
              </w:rPr>
              <w:t>Novodobá husitská teologie a církev československá husitská. Butta. Duchovní služba v církvi, Praha 2023.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2.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Novodobá husitská teologie a církev československá husitská. Biografický slovník Církve československé husitské, str. 639. ISBN 978-80-7000-167-7., str. 547.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3.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Denní čtení. Praha 2022.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4.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Denní čtení. Praha 2021.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5.</w:t>
            </w:r>
          </w:p>
        </w:tc>
        <w:tc>
          <w:tcPr>
            <w:tcW w:w="8820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Denní čtení. Praha 2020.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PlainTable2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91"/>
        <w:gridCol w:w="1495"/>
        <w:gridCol w:w="1184"/>
        <w:gridCol w:w="887"/>
        <w:gridCol w:w="2184"/>
        <w:gridCol w:w="1056"/>
        <w:gridCol w:w="2014"/>
      </w:tblGrid>
      <w:tr>
        <w:trPr>
          <w:trHeight w:val="48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1" w:type="dxa"/>
            <w:gridSpan w:val="7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VI.5. Účasť na riešení (vedení) najvýznamnejších vedeckých projektov alebo umeleckých projektov za posledných šesť rokov</w:t>
            </w:r>
            <w:r>
              <w:rPr>
                <w:rStyle w:val="FootnoteCharacters"/>
                <w:rStyle w:val="Ukotvenpoznmkypodarou"/>
                <w:b/>
                <w:bCs/>
                <w:sz w:val="16"/>
                <w:szCs w:val="16"/>
              </w:rPr>
              <w:footnoteReference w:id="8"/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1.</w:t>
            </w:r>
          </w:p>
        </w:tc>
        <w:tc>
          <w:tcPr>
            <w:tcW w:w="8820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Historie - paměť nároka, Ministerstvo kultury ČR, 2006</w:t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2.</w:t>
            </w:r>
          </w:p>
        </w:tc>
        <w:tc>
          <w:tcPr>
            <w:tcW w:w="8820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  <w:t>Historie - paměť národa, Ministerstvo kultury ČR, 2007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3.</w:t>
            </w:r>
          </w:p>
        </w:tc>
        <w:tc>
          <w:tcPr>
            <w:tcW w:w="8820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4.</w:t>
            </w:r>
          </w:p>
        </w:tc>
        <w:tc>
          <w:tcPr>
            <w:tcW w:w="8820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1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</w:rPr>
            </w:pPr>
            <w:r>
              <w:rPr>
                <w:rFonts w:cs="Calibri" w:cstheme="minorHAnsi"/>
                <w:b w:val="false"/>
                <w:bCs/>
                <w:sz w:val="16"/>
              </w:rPr>
              <w:t>5.</w:t>
            </w:r>
          </w:p>
        </w:tc>
        <w:tc>
          <w:tcPr>
            <w:tcW w:w="8820" w:type="dxa"/>
            <w:gridSpan w:val="6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i/>
                <w:i/>
                <w:sz w:val="20"/>
              </w:rPr>
            </w:pPr>
            <w:r>
              <w:rPr>
                <w:rFonts w:cs="Calibri" w:cstheme="minorHAnsi"/>
                <w:i/>
                <w:sz w:val="20"/>
              </w:rPr>
            </w:r>
          </w:p>
        </w:tc>
      </w:tr>
      <w:tr>
        <w:trPr>
          <w:trHeight w:val="48" w:hRule="atLeast"/>
        </w:trPr>
        <w:tc>
          <w:tcPr>
            <w:tcW w:w="9211" w:type="dxa"/>
            <w:gridSpan w:val="7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Prehľad aktivít v organizovaní vysokoškolského vzdelávania a tvorivých činností</w:t>
            </w:r>
            <w:r>
              <w:rPr>
                <w:rStyle w:val="FootnoteCharacters"/>
                <w:rStyle w:val="Ukotvenpoznmkypodarou"/>
                <w:b/>
                <w:bCs/>
                <w:sz w:val="20"/>
                <w:szCs w:val="20"/>
              </w:rPr>
              <w:footnoteReference w:id="9"/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  <w:szCs w:val="16"/>
              </w:rPr>
            </w:pPr>
            <w:r>
              <w:rPr>
                <w:rFonts w:cs="Calibri" w:cstheme="minorHAnsi"/>
                <w:b w:val="false"/>
                <w:bCs/>
                <w:sz w:val="16"/>
                <w:szCs w:val="16"/>
              </w:rPr>
              <w:t>Aktivita/funkcia</w:t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Názov inštitúcie/grémia</w:t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Časové vymedzenia pôsobenia</w:t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3070" w:type="dxa"/>
            <w:gridSpan w:val="3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3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  <w:tc>
          <w:tcPr>
            <w:tcW w:w="307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bCs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7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Prehľad zahraničných mobilít a pôsobenia so zameraním na vzdelávanie a tvorivú činnosť v študijnom odbore</w:t>
            </w:r>
          </w:p>
        </w:tc>
      </w:tr>
      <w:tr>
        <w:trPr>
          <w:trHeight w:val="48" w:hRule="atLeast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sz w:val="16"/>
                <w:szCs w:val="16"/>
              </w:rPr>
            </w:pPr>
            <w:r>
              <w:rPr>
                <w:rFonts w:cs="Calibri" w:cstheme="minorHAnsi"/>
                <w:b w:val="false"/>
                <w:bCs/>
                <w:sz w:val="16"/>
                <w:szCs w:val="16"/>
              </w:rPr>
              <w:t>Názov inštitúcie</w:t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Sídlo inštitúcie</w:t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Obdobie trvania pôsobenia/pobytu (uviesť dátum od kedy do kedy trval pobyt)</w:t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Mobilitná schéma/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Cs/>
                <w:sz w:val="16"/>
                <w:szCs w:val="16"/>
              </w:rPr>
            </w:pPr>
            <w:r>
              <w:rPr>
                <w:rFonts w:cs="Calibri" w:cstheme="minorHAnsi"/>
                <w:bCs/>
                <w:sz w:val="16"/>
                <w:szCs w:val="16"/>
              </w:rPr>
              <w:t>pracovný kontrakt/iné (popísať)</w:t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  <w:t>Vyšší odborná škola Husův institut teologických studií</w:t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Praha</w:t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2005 - dosud</w:t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  <w:t>učitel</w:t>
            </w:r>
          </w:p>
        </w:tc>
      </w:tr>
      <w:tr>
        <w:trPr>
          <w:trHeight w:val="48" w:hRule="atLeast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86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 w:val="false"/>
                <w:b w:val="false"/>
                <w:bCs/>
                <w:sz w:val="18"/>
                <w:szCs w:val="18"/>
              </w:rPr>
            </w:pPr>
            <w:r>
              <w:rPr>
                <w:rFonts w:cs="Calibri" w:cstheme="minorHAnsi"/>
                <w:b w:val="false"/>
                <w:bCs/>
                <w:sz w:val="18"/>
                <w:szCs w:val="18"/>
              </w:rPr>
            </w:r>
          </w:p>
        </w:tc>
        <w:tc>
          <w:tcPr>
            <w:tcW w:w="2071" w:type="dxa"/>
            <w:gridSpan w:val="2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3240" w:type="dxa"/>
            <w:gridSpan w:val="2"/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  <w:tc>
          <w:tcPr>
            <w:tcW w:w="2014" w:type="dxa"/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18"/>
                <w:szCs w:val="18"/>
              </w:rPr>
            </w:pPr>
            <w:r>
              <w:rPr>
                <w:rFonts w:cs="Calibri" w:cstheme="minorHAnsi"/>
                <w:b/>
                <w:sz w:val="18"/>
                <w:szCs w:val="18"/>
              </w:rPr>
            </w:r>
          </w:p>
        </w:tc>
      </w:tr>
      <w:tr>
        <w:trPr>
          <w:trHeight w:val="48" w:hRule="atLeast"/>
        </w:trPr>
        <w:tc>
          <w:tcPr>
            <w:tcW w:w="9211" w:type="dxa"/>
            <w:gridSpan w:val="7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IX. Iné relevantné skutočnosti</w:t>
            </w:r>
            <w:r>
              <w:rPr>
                <w:rStyle w:val="FootnoteCharacters"/>
                <w:rStyle w:val="Ukotvenpoznmkypodarou"/>
                <w:b/>
                <w:bCs/>
                <w:sz w:val="20"/>
                <w:szCs w:val="20"/>
              </w:rPr>
              <w:footnoteReference w:id="10"/>
            </w:r>
          </w:p>
        </w:tc>
      </w:tr>
      <w:tr>
        <w:trPr>
          <w:trHeight w:val="263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1" w:type="dxa"/>
            <w:gridSpan w:val="7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Calibri" w:cstheme="minorHAnsi"/>
                <w:b w:val="false"/>
                <w:bCs w:val="false"/>
                <w:i/>
                <w:sz w:val="14"/>
                <w:szCs w:val="16"/>
              </w:rPr>
              <w:t xml:space="preserve">Ak je to podstatné, uvádzajú sa iné aktivity súvisiace s vysokoškolským vzdelávaním alebo s tvorivou činnosťou.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Calibri" w:cstheme="minorHAnsi"/>
                <w:b w:val="false"/>
                <w:bCs w:val="false"/>
                <w:i/>
                <w:sz w:val="20"/>
                <w:szCs w:val="16"/>
              </w:rPr>
              <w:t>Místopředseda Rady vysokých škol České republiky 1997 - 1999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Calibri" w:cstheme="minorHAnsi"/>
                <w:b w:val="false"/>
                <w:bCs w:val="false"/>
                <w:i/>
                <w:sz w:val="20"/>
                <w:szCs w:val="16"/>
              </w:rPr>
              <w:t>Místopředseda Akademického senátu Univerzity Karlovy 1996 - 2001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Calibri" w:cstheme="minorHAnsi"/>
                <w:b w:val="false"/>
                <w:bCs w:val="false"/>
                <w:i/>
                <w:sz w:val="20"/>
                <w:szCs w:val="16"/>
              </w:rPr>
              <w:t>Předseda Akademického senátu Husitské teologické fakulty Univerzity Karlovy 1992 - 2001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Calibri" w:cstheme="minorHAnsi"/>
                <w:b w:val="false"/>
                <w:bCs w:val="false"/>
                <w:i/>
                <w:sz w:val="20"/>
                <w:szCs w:val="16"/>
              </w:rPr>
              <w:t>Cena Jana Opletala za organizaci studentské samosprávy 2005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">
              <w:r>
                <w:rPr>
                  <w:rStyle w:val="Internetovodkaz"/>
                  <w:rFonts w:cs="Calibri" w:cstheme="minorHAnsi"/>
                  <w:b w:val="false"/>
                  <w:bCs w:val="false"/>
                  <w:i/>
                  <w:iCs/>
                  <w:sz w:val="20"/>
                  <w:szCs w:val="16"/>
                  <w:u w:val="none"/>
                </w:rPr>
                <w:t>Bohoslužba Církve československé husitské ze studia Českého rozhlasu Vltava (ČRo, 18.10.2020)</w:t>
              </w:r>
            </w:hyperlink>
            <w:r>
              <w:rPr>
                <w:rFonts w:cs="Calibri" w:cstheme="minorHAnsi"/>
                <w:b w:val="false"/>
                <w:bCs w:val="false"/>
                <w:i/>
                <w:iCs/>
                <w:sz w:val="20"/>
                <w:szCs w:val="16"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3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Velkopáteční pobožnost CČSH sloužená br. biskupem D.Tonzarem a H.Tonzarovou (Čro Voltava 10. 4. 2020)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4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husitského biskupa Davida Tonzara (ČT2, 15.3.2020)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5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Bohoslužba Církve československé husitské z Husova sboru v Praze na Vinohradech (5.1.2020)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  <w:hyperlink r:id="rId6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husitského biskupa Davida Tonzara (ČT2, 3.2.2019)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7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Noční mikrofórum, host biskup David Tonzar (ČRo, 9.11.2017)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8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husitského biskupa Davida Tonzara (ČT2, 25.9.2016)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9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Ekumenická bohoslužba za krajinu (ČRo, 4.6.2016)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0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Bohoslužba Církve československé husitské z kaple sv. Anny v Praze - Krči (ČRo, 3.1.2016)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1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Rozhlasový pořad Hovory (ČRo Plus, 8.11.2015)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2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Svatodušní bohoslužba Církve československé husitské (ČT2, 24.5.2015)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3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Velikonoční bohoslužba Církve československé husitské z Jílového u Prahy (ČRo, 5.4.2015)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  <w:hyperlink r:id="rId14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Bohoslužba k výročí přijímání pod obojí z Betlémské kaple (ČT2, 12.10.2014)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5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bohoslužba Církve československé husitské z Betlémské kaple v Praze (ČRo2, 6.7.2014)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  <w:hyperlink r:id="rId16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(ČT1, 16.3.2014)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17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Přímý přenos ze sboru Církve československé husitské v Poděbradech (ČRo2, 2.3.2014)</w:t>
              </w:r>
            </w:hyperlink>
          </w:p>
          <w:p>
            <w:pPr>
              <w:pStyle w:val="Tlotextu"/>
              <w:spacing w:lineRule="auto" w:line="240" w:before="0" w:after="0"/>
              <w:rPr/>
            </w:pPr>
            <w:hyperlink r:id="rId18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(ČT1, 8.1.2013)</w:t>
              </w:r>
            </w:hyperlink>
          </w:p>
          <w:p>
            <w:pPr>
              <w:pStyle w:val="Tlotextu"/>
              <w:spacing w:lineRule="auto" w:line="240" w:before="0" w:after="0"/>
              <w:rPr/>
            </w:pPr>
            <w:hyperlink r:id="rId19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Bohoslužba Církve československé husitské z chrámu sv. Mikuláše na pražském Staroměstském náměstí (ČRo2, 26.12.2012)</w:t>
              </w:r>
            </w:hyperlink>
          </w:p>
          <w:p>
            <w:pPr>
              <w:pStyle w:val="Tlotextu"/>
              <w:spacing w:lineRule="auto" w:line="240" w:before="0" w:after="0"/>
              <w:rPr/>
            </w:pPr>
            <w:hyperlink r:id="rId20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Křesťanský magazín - Den veteránů u sv. Mikuláše (ČT1, 2.12.2012)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1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slovo (ČT1, 19.8.2012)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2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Rozhlasový pořad Tandem (ČRo 6. 7. 2012)</w:t>
              </w:r>
            </w:hyperlink>
          </w:p>
          <w:p>
            <w:pPr>
              <w:pStyle w:val="Tlotextu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Internetovodkaz"/>
                <w:i/>
                <w:u w:val="none"/>
                <w:b w:val="false"/>
                <w:iCs/>
                <w:bCs w:val="false"/>
              </w:rPr>
              <w:instrText> HYPERLINK "http://dvojka.rozhlas.cz/odkaz-mistra-jana-husa-predstavuje-moralni-hodnoty-pretrvavajici-staleti-7475135?player=on" \l "player"</w:instrText>
            </w:r>
            <w:r>
              <w:rPr>
                <w:rStyle w:val="Internetovodkaz"/>
                <w:i/>
                <w:u w:val="none"/>
                <w:b w:val="false"/>
                <w:iCs/>
                <w:bCs w:val="false"/>
              </w:rPr>
              <w:fldChar w:fldCharType="separate"/>
            </w:r>
            <w:r>
              <w:rPr>
                <w:rStyle w:val="Internetovodkaz"/>
                <w:b w:val="false"/>
                <w:bCs w:val="false"/>
                <w:i/>
                <w:iCs/>
                <w:u w:val="none"/>
              </w:rPr>
              <w:t>Odkaz mistra Jana Husa představuje morální hodnoty (ČRo2, 6.7.2011)</w:t>
            </w:r>
            <w:r>
              <w:rPr>
                <w:rStyle w:val="Internetovodkaz"/>
                <w:i/>
                <w:u w:val="none"/>
                <w:b w:val="false"/>
                <w:iCs/>
                <w:bCs w:val="false"/>
              </w:rPr>
              <w:fldChar w:fldCharType="end"/>
            </w:r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3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Sváteční bohoslužba z Husova sboru v Semilech (ČRo2, 6.7.2011)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4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Přímý přenos půlnoční bohoslužby Církve československé husitské z chrámu sv. Mikuláše (ČRo, 25.12.2010)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5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Slavnostní bohoslužba k uctění mučednické smrti Mistra Jana Husa (ČT2, 6.7.2010)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6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Slavnostní bohoslužba k uctění mučednické smrti Mistra Jana Husa (ČT2, 6.7.2008)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7">
              <w:r>
                <w:rPr>
                  <w:rStyle w:val="Internetovodkaz"/>
                  <w:b w:val="false"/>
                  <w:bCs w:val="false"/>
                  <w:i/>
                  <w:iCs/>
                  <w:u w:val="single"/>
                </w:rPr>
                <w:t>Křesťanský magazín (ČT1, 11.2.2007)</w:t>
              </w:r>
            </w:hyperlink>
            <w:r>
              <w:rPr>
                <w:b w:val="false"/>
                <w:bCs w:val="false"/>
                <w:i/>
                <w:iCs/>
                <w:u w:val="single"/>
              </w:rPr>
              <w:t xml:space="preserve"> </w:t>
            </w:r>
          </w:p>
          <w:p>
            <w:pPr>
              <w:pStyle w:val="Tlotextu"/>
              <w:spacing w:lineRule="auto" w:line="240" w:before="0" w:after="0"/>
              <w:rPr/>
            </w:pPr>
            <w:hyperlink r:id="rId28">
              <w:r>
                <w:rPr>
                  <w:rStyle w:val="Internetovodkaz"/>
                  <w:b w:val="false"/>
                  <w:bCs w:val="false"/>
                  <w:i/>
                  <w:iCs/>
                  <w:u w:val="none"/>
                </w:rPr>
                <w:t>Bohoslužba k uctění památky Mistra Jana Husa (ČT2, 6.7.2004</w:t>
              </w:r>
            </w:hyperlink>
            <w:r>
              <w:rPr>
                <w:b w:val="false"/>
                <w:bCs w:val="false"/>
                <w:i/>
                <w:iCs/>
                <w:u w:val="none"/>
              </w:rPr>
              <w:t>)</w:t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tabs>
          <w:tab w:val="clear" w:pos="708"/>
          <w:tab w:val="left" w:pos="2818" w:leader="none"/>
        </w:tabs>
        <w:spacing w:before="0" w:after="160"/>
        <w:rPr/>
      </w:pPr>
      <w:r>
        <w:rPr>
          <w:rFonts w:cs="Calibri" w:cstheme="minorHAnsi"/>
          <w:sz w:val="24"/>
          <w:szCs w:val="24"/>
        </w:rPr>
        <w:tab/>
      </w:r>
    </w:p>
    <w:sectPr>
      <w:headerReference w:type="default" r:id="rId29"/>
      <w:footerReference w:type="default" r:id="rId30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08938645"/>
    </w:sdtPr>
    <w:sdtContent>
      <w:p>
        <w:pPr>
          <w:pStyle w:val="Zpat"/>
          <w:rPr/>
        </w:pPr>
        <w:bookmarkStart w:id="1" w:name="_Hlk50127154"/>
        <w:r>
          <w:rPr>
            <w:sz w:val="16"/>
            <w:szCs w:val="16"/>
          </w:rPr>
          <w:t xml:space="preserve">T_Z_VUPCH_1/ 2020 </w:t>
        </w:r>
        <w:bookmarkEnd w:id="1"/>
        <w:r>
          <w:rPr>
            <w:sz w:val="16"/>
            <w:szCs w:val="16"/>
          </w:rPr>
          <w:tab/>
          <w:tab/>
        </w:r>
        <w:r>
          <w:rPr>
            <w:rFonts w:cs="Calibri" w:cstheme="minorHAnsi"/>
            <w:i/>
            <w:sz w:val="16"/>
            <w:szCs w:val="16"/>
          </w:rPr>
          <w:t xml:space="preserve">Strana </w:t>
        </w:r>
        <w:r>
          <w:rPr>
            <w:rFonts w:cs="Calibri" w:cstheme="minorHAnsi"/>
            <w:i/>
            <w:sz w:val="16"/>
            <w:szCs w:val="16"/>
          </w:rPr>
          <w:fldChar w:fldCharType="begin"/>
        </w:r>
        <w:r>
          <w:rPr>
            <w:sz w:val="16"/>
            <w:i/>
            <w:szCs w:val="16"/>
            <w:rFonts w:cs="Calibri"/>
          </w:rPr>
          <w:instrText> PAGE </w:instrText>
        </w:r>
        <w:r>
          <w:rPr>
            <w:sz w:val="16"/>
            <w:i/>
            <w:szCs w:val="16"/>
            <w:rFonts w:cs="Calibri"/>
          </w:rPr>
          <w:fldChar w:fldCharType="separate"/>
        </w:r>
        <w:r>
          <w:rPr>
            <w:sz w:val="16"/>
            <w:i/>
            <w:szCs w:val="16"/>
            <w:rFonts w:cs="Calibri"/>
          </w:rPr>
          <w:t>4</w:t>
        </w:r>
        <w:r>
          <w:rPr>
            <w:sz w:val="16"/>
            <w:i/>
            <w:szCs w:val="16"/>
            <w:rFonts w:cs="Calibri"/>
          </w:rPr>
          <w:fldChar w:fldCharType="end"/>
        </w:r>
        <w:r>
          <w:rPr>
            <w:rFonts w:cs="Calibri" w:cstheme="minorHAnsi"/>
            <w:i/>
            <w:sz w:val="16"/>
            <w:szCs w:val="16"/>
          </w:rPr>
          <w:t xml:space="preserve"> z </w:t>
        </w:r>
        <w:r>
          <w:rPr>
            <w:rFonts w:cs="Calibri" w:cstheme="minorHAnsi"/>
            <w:i/>
            <w:sz w:val="16"/>
            <w:szCs w:val="16"/>
          </w:rPr>
          <w:fldChar w:fldCharType="begin"/>
        </w:r>
        <w:r>
          <w:rPr>
            <w:sz w:val="16"/>
            <w:i/>
            <w:szCs w:val="16"/>
            <w:rFonts w:cs="Calibri"/>
          </w:rPr>
          <w:instrText> NUMPAGES </w:instrText>
        </w:r>
        <w:r>
          <w:rPr>
            <w:sz w:val="16"/>
            <w:i/>
            <w:szCs w:val="16"/>
            <w:rFonts w:cs="Calibri"/>
          </w:rPr>
          <w:fldChar w:fldCharType="separate"/>
        </w:r>
        <w:r>
          <w:rPr>
            <w:sz w:val="16"/>
            <w:i/>
            <w:szCs w:val="16"/>
            <w:rFonts w:cs="Calibri"/>
          </w:rPr>
          <w:t>4</w:t>
        </w:r>
        <w:r>
          <w:rPr>
            <w:sz w:val="16"/>
            <w:i/>
            <w:szCs w:val="16"/>
            <w:rFonts w:cs="Calibri"/>
          </w:rPr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oznmkapodarou"/>
        <w:rPr>
          <w:i/>
          <w:i/>
          <w:iCs/>
          <w:color w:val="0033CC"/>
          <w:sz w:val="16"/>
          <w:szCs w:val="16"/>
        </w:rPr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 xml:space="preserve">Vysoká škola spracuje a vo vnútornom systéme vedie informácie v rozsahu nie menšom ako VUPCH všetkých učiteľov študijného programu. </w:t>
      </w:r>
    </w:p>
    <w:p>
      <w:pPr>
        <w:pStyle w:val="Poznmkapodarou"/>
        <w:rPr/>
      </w:pP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VUPCH osôb zabezpečujúcich profilové predmety študijného programu alebo osôb zodpovedných za rozvoj a zabezpečenie kvality odboru habilitačného konania a inauguračného konania prikladá k príslušnej žiadosti.</w:t>
      </w:r>
    </w:p>
  </w:footnote>
  <w:footnote w:id="3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Nepovinná položka.</w:t>
      </w:r>
    </w:p>
  </w:footnote>
  <w:footnote w:id="4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Podľa čl. 6 odsek 4 Štandardov pre študijný program.</w:t>
      </w:r>
    </w:p>
  </w:footnote>
  <w:footnote w:id="5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Maximálne päť najvýznamnejších výstupov, ak je VUPCH prílohou žiadosti.</w:t>
      </w:r>
    </w:p>
  </w:footnote>
  <w:footnote w:id="6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Maximálne päť najvýznamnejších výstupov za ostatných šesť rokov, ak je VUPCH prílohou žiadosti.</w:t>
      </w:r>
    </w:p>
  </w:footnote>
  <w:footnote w:id="7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 xml:space="preserve">Maximálne päť najvýznamnejších ohlasov, ak je VUPCH prílohou žiadosti. </w:t>
      </w:r>
    </w:p>
  </w:footnote>
  <w:footnote w:id="8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 xml:space="preserve">Maximálne päť najvýznamnejších projektov, ak je VUPCH prílohou žiadosti. Okrem názvu a stučnej charakteristiky projektu sa uvádza druh účasti (vedenie/ účasť/ iné), ak je možné, hyperlink na projekt a jeho výstupy a ohlasy. </w:t>
      </w:r>
    </w:p>
  </w:footnote>
  <w:footnote w:id="9">
    <w:p>
      <w:pPr>
        <w:pStyle w:val="Poznmkapodarou"/>
        <w:rPr/>
      </w:pPr>
      <w:r>
        <w:rPr>
          <w:rStyle w:val="Znakypropoznmkupodarou"/>
        </w:rPr>
        <w:footnoteRef/>
      </w:r>
      <w:r>
        <w:rPr>
          <w:i/>
          <w:iCs/>
          <w:color w:val="0033CC"/>
          <w:sz w:val="16"/>
          <w:szCs w:val="16"/>
        </w:rPr>
        <w:t xml:space="preserve"> </w:t>
      </w:r>
      <w:r>
        <w:rPr>
          <w:i/>
          <w:iCs/>
          <w:color w:val="0033CC"/>
          <w:sz w:val="16"/>
          <w:szCs w:val="16"/>
        </w:rPr>
        <w:t>Napr. akademické funkcie, členstvá v redakčných radách a vo vedeckých, odborných a profesijných spoločnostiach.</w:t>
      </w:r>
    </w:p>
  </w:footnote>
  <w:footnote w:id="10">
    <w:p>
      <w:pPr>
        <w:pStyle w:val="Poznmkapodarou"/>
        <w:rPr/>
      </w:pPr>
      <w:r>
        <w:rPr>
          <w:rStyle w:val="Znakypropoznmkupodarou"/>
        </w:rPr>
        <w:footnoteRef/>
      </w:r>
      <w:r>
        <w:rPr>
          <w:color w:val="0033CC"/>
          <w:sz w:val="16"/>
          <w:szCs w:val="16"/>
        </w:rPr>
        <w:t xml:space="preserve"> </w:t>
      </w:r>
      <w:r>
        <w:rPr>
          <w:color w:val="0033CC"/>
          <w:sz w:val="16"/>
          <w:szCs w:val="16"/>
        </w:rPr>
        <w:t xml:space="preserve">Maximálne 1800 znakov, ak je VUPCH prílohou žiadosti.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>
        <w:i/>
        <w:i/>
        <w:iCs/>
        <w:color w:val="0033CC"/>
        <w:sz w:val="20"/>
        <w:szCs w:val="20"/>
      </w:rPr>
    </w:pPr>
    <w:r>
      <w:rPr>
        <w:i/>
        <w:iCs/>
        <w:color w:val="0033CC"/>
        <w:sz w:val="20"/>
        <w:szCs w:val="20"/>
      </w:rPr>
      <w:t>Tlačivo VUPCH určuje štruktúru dát Vedecko/umelecko-pedagogickej charakteristiky osoby pre spracovanie príloh žiadostí SAAVŠ.</w:t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k-SK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110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k-SK" w:eastAsia="en-US" w:bidi="ar-SA"/>
    </w:rPr>
  </w:style>
  <w:style w:type="paragraph" w:styleId="Nadpis2">
    <w:name w:val="Heading 2"/>
    <w:basedOn w:val="Nadpis"/>
    <w:next w:val="Tlotextu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paragraph" w:styleId="Nadpis3">
    <w:name w:val="Heading 3"/>
    <w:basedOn w:val="Nadpis"/>
    <w:next w:val="Tlotextu"/>
    <w:qFormat/>
    <w:p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lavikaChar" w:customStyle="1">
    <w:name w:val="Hlavička Char"/>
    <w:basedOn w:val="DefaultParagraphFont"/>
    <w:link w:val="Hlavika"/>
    <w:uiPriority w:val="99"/>
    <w:qFormat/>
    <w:rsid w:val="00631101"/>
    <w:rPr/>
  </w:style>
  <w:style w:type="character" w:styleId="PtaChar" w:customStyle="1">
    <w:name w:val="Päta Char"/>
    <w:basedOn w:val="DefaultParagraphFont"/>
    <w:link w:val="Pta"/>
    <w:uiPriority w:val="99"/>
    <w:qFormat/>
    <w:rsid w:val="00631101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semiHidden/>
    <w:qFormat/>
    <w:rsid w:val="00631101"/>
    <w:rPr>
      <w:sz w:val="20"/>
      <w:szCs w:val="20"/>
    </w:rPr>
  </w:style>
  <w:style w:type="character" w:styleId="Ukotvenpoznmkypodarou">
    <w:name w:val="Ukotvení poznámky pod čarou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31101"/>
    <w:rPr>
      <w:vertAlign w:val="superscript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91511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b60a2"/>
    <w:rPr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cb60a2"/>
    <w:rPr>
      <w:sz w:val="20"/>
      <w:szCs w:val="20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cb60a2"/>
    <w:rPr>
      <w:b/>
      <w:bCs/>
      <w:sz w:val="20"/>
      <w:szCs w:val="20"/>
    </w:rPr>
  </w:style>
  <w:style w:type="character" w:styleId="Internetovodkaz">
    <w:name w:val="Internetový odkaz"/>
    <w:basedOn w:val="DefaultParagraphFont"/>
    <w:uiPriority w:val="99"/>
    <w:unhideWhenUsed/>
    <w:rPr>
      <w:color w:val="0563C1" w:themeColor="hyperlink"/>
      <w:u w:val="single"/>
    </w:rPr>
  </w:style>
  <w:style w:type="character" w:styleId="Znakypropoznmkupodarou">
    <w:name w:val="Znaky pro poznámku pod čarou"/>
    <w:qFormat/>
    <w:rPr/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Ukotvenvysvtlivky">
    <w:name w:val="Ukotvení vysvětlivky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">
    <w:name w:val="Header"/>
    <w:basedOn w:val="Normal"/>
    <w:link w:val="HlavikaChar"/>
    <w:uiPriority w:val="99"/>
    <w:unhideWhenUsed/>
    <w:rsid w:val="0063110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PtaChar"/>
    <w:uiPriority w:val="99"/>
    <w:unhideWhenUsed/>
    <w:rsid w:val="0063110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znmkapodarou">
    <w:name w:val="Footnote Text"/>
    <w:basedOn w:val="Normal"/>
    <w:link w:val="TextpoznmkypodiarouChar"/>
    <w:uiPriority w:val="99"/>
    <w:semiHidden/>
    <w:unhideWhenUsed/>
    <w:rsid w:val="00631101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9151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xtkomentraChar"/>
    <w:uiPriority w:val="99"/>
    <w:semiHidden/>
    <w:unhideWhenUsed/>
    <w:qFormat/>
    <w:rsid w:val="00cb60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unhideWhenUsed/>
    <w:qFormat/>
    <w:rsid w:val="00cb60a2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Normlnatabuka"/>
    <w:uiPriority w:val="42"/>
    <w:rsid w:val="0063110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ltava.rozhlas.cz/bohosluzba-cirkve-ceskoslovenske-husitske-ze-studia-ceskeho-rozhlasu-vltava-8342301" TargetMode="External"/><Relationship Id="rId3" Type="http://schemas.openxmlformats.org/officeDocument/2006/relationships/hyperlink" Target="https://www.ccshpraha.cz/ostatni/velkopatecni-poboznost-podle-prof-a-tuhacka-a-prof-j-pichy-z-roku-1940.html" TargetMode="External"/><Relationship Id="rId4" Type="http://schemas.openxmlformats.org/officeDocument/2006/relationships/hyperlink" Target="https://www.ceskatelevize.cz/porady/880349-svatecni-slovo/320298380020004-svatecni-slovo-prazskeho-husitskeho-biskupa-davida-tonzara/" TargetMode="External"/><Relationship Id="rId5" Type="http://schemas.openxmlformats.org/officeDocument/2006/relationships/hyperlink" Target="https://vltava.rozhlas.cz/bohosluzba-cirkve-ceskoslovenske-husitske-z-husova-sboru-v-praze-na-vinohradech-8131550" TargetMode="External"/><Relationship Id="rId6" Type="http://schemas.openxmlformats.org/officeDocument/2006/relationships/hyperlink" Target="https://www.ceskatelevize.cz/porady/880349-svatecni-slovo/318298380020016-svatecni-slovo-husitskeho-biskupa-davida-tonzara/" TargetMode="External"/><Relationship Id="rId7" Type="http://schemas.openxmlformats.org/officeDocument/2006/relationships/hyperlink" Target="https://prehravac.rozhlas.cz/audio/3947557" TargetMode="External"/><Relationship Id="rId8" Type="http://schemas.openxmlformats.org/officeDocument/2006/relationships/hyperlink" Target="https://www.ceskatelevize.cz/porady/880349-svatecni-slovo/316298380020010-svatecni-slovo-husitskeho-biskupa-davida-tonzara/" TargetMode="External"/><Relationship Id="rId9" Type="http://schemas.openxmlformats.org/officeDocument/2006/relationships/hyperlink" Target="https://temata.rozhlas.cz/ekumenicka-bohosluzba-za-krajinu-desate-vyroci-arcidiecezniho-muzea-olomouc-a-7992097" TargetMode="External"/><Relationship Id="rId10" Type="http://schemas.openxmlformats.org/officeDocument/2006/relationships/hyperlink" Target="https://temata.rozhlas.cz/bohosluzba-cirkve-ceskoslovenske-husitske-z-kaple-sv-anny-v-praze-krci-7988634" TargetMode="External"/><Relationship Id="rId11" Type="http://schemas.openxmlformats.org/officeDocument/2006/relationships/hyperlink" Target="http://prehravac.rozhlas.cz/audio/3515867" TargetMode="External"/><Relationship Id="rId12" Type="http://schemas.openxmlformats.org/officeDocument/2006/relationships/hyperlink" Target="https://www.ceskatelevize.cz/porady/11009614168-svatodusni-bohosluzba-cirkve-ceskoslovenske-husitske/21556221452/" TargetMode="External"/><Relationship Id="rId13" Type="http://schemas.openxmlformats.org/officeDocument/2006/relationships/hyperlink" Target="https://temata.rozhlas.cz/velikonocni-bohosluzba-cirkve-ceskoslovenske-husitske-z-jiloveho-u-prahy-7988534" TargetMode="External"/><Relationship Id="rId14" Type="http://schemas.openxmlformats.org/officeDocument/2006/relationships/hyperlink" Target="https://www.ceskatelevize.cz/porady/10727126881-bohosluzba-k-vyroci-prijimani-podoboji/314298380050007" TargetMode="External"/><Relationship Id="rId15" Type="http://schemas.openxmlformats.org/officeDocument/2006/relationships/hyperlink" Target="http://prehravac.rozhlas.cz/audio/3160012" TargetMode="External"/><Relationship Id="rId16" Type="http://schemas.openxmlformats.org/officeDocument/2006/relationships/hyperlink" Target="https://bohosluzby-kazani-projevy/75-let-od-okupace-protektorat-cechy-a-morava-poroba-svobodneho-ducha-ceskeho-naroda.html" TargetMode="External"/><Relationship Id="rId17" Type="http://schemas.openxmlformats.org/officeDocument/2006/relationships/hyperlink" Target="https://www.ccshpraha.cz/P&#345;&#237;m&#253; p&#345;enos ze sboru C&#237;rkve &#269;eskoslovensk&#233; husitsk&#233; v Pod&#283;bradech" TargetMode="External"/><Relationship Id="rId18" Type="http://schemas.openxmlformats.org/officeDocument/2006/relationships/hyperlink" Target="https://bohosluzby-kazani-projevy/svatecni-slovo-v-ceske-televizi-r-2013.html" TargetMode="External"/><Relationship Id="rId19" Type="http://schemas.openxmlformats.org/officeDocument/2006/relationships/hyperlink" Target="https://www.ccshpraha.cz/Bohoslu&#382;ba C&#237;rkve &#269;eskoslovensk&#233; husitsk&#233; z chr&#225;mu sv. Mikul&#225;&#353;e na pra&#382;sk&#233;m Starom&#283;stsk&#233;m n&#225;m&#283;st&#237;" TargetMode="External"/><Relationship Id="rId20" Type="http://schemas.openxmlformats.org/officeDocument/2006/relationships/hyperlink" Target="https://www.ceskatelevize.cz/porady/1098528273-krestansky-magazin/212562215600014/" TargetMode="External"/><Relationship Id="rId21" Type="http://schemas.openxmlformats.org/officeDocument/2006/relationships/hyperlink" Target="https://www.ccshpraha.cz/bosluzby-kazani-projevy/kdo-jsme-jaci-jsme-a-kam-jdeme.html" TargetMode="External"/><Relationship Id="rId22" Type="http://schemas.openxmlformats.org/officeDocument/2006/relationships/hyperlink" Target="https://www.ccshpraha.cz/bohosluzby-kazani-projevy/tandem-br-tonzara-s-janem-rosakem-porad-cro.html" TargetMode="External"/><Relationship Id="rId23" Type="http://schemas.openxmlformats.org/officeDocument/2006/relationships/hyperlink" Target="http://prehravac.rozhlas.cz/audio/2381219" TargetMode="External"/><Relationship Id="rId24" Type="http://schemas.openxmlformats.org/officeDocument/2006/relationships/hyperlink" Target="http://prehravac.rozhlas.cz/audio/2219477" TargetMode="External"/><Relationship Id="rId25" Type="http://schemas.openxmlformats.org/officeDocument/2006/relationships/hyperlink" Target="https://www.ceskatelevize.cz/porady/10266602221-slavnostni-bohosluzba-k-ucteni-mucednicke-smrti-mistra-jana-husa/31029838011/" TargetMode="External"/><Relationship Id="rId26" Type="http://schemas.openxmlformats.org/officeDocument/2006/relationships/hyperlink" Target="https://www.ceskatelevize.cz/porady/10169771321-slavnostni-bohosluzba-k-ucteni-mucednicke-smrti-mistra-jana-husa/30829838011/" TargetMode="External"/><Relationship Id="rId27" Type="http://schemas.openxmlformats.org/officeDocument/2006/relationships/hyperlink" Target="https://www.ceskatelevize.cz/bohosluzby-kazani-projevy/75-let-od-okupace-protektorat-cechy-a-morava-poroba-svobodneho-ducha-ceskeho-naroda-2.html" TargetMode="External"/><Relationship Id="rId28" Type="http://schemas.openxmlformats.org/officeDocument/2006/relationships/hyperlink" Target="https://www.ceskatelevize.cz/porady/1159945362-bohosluzba-k-ucteni-pamatky-mistra-jana-husa/20456221452/" TargetMode="External"/><Relationship Id="rId29" Type="http://schemas.openxmlformats.org/officeDocument/2006/relationships/header" Target="header1.xml"/><Relationship Id="rId30" Type="http://schemas.openxmlformats.org/officeDocument/2006/relationships/footer" Target="footer1.xml"/><Relationship Id="rId31" Type="http://schemas.openxmlformats.org/officeDocument/2006/relationships/footnotes" Target="footnotes.xm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<Relationship Id="rId35" Type="http://schemas.openxmlformats.org/officeDocument/2006/relationships/customXml" Target="../customXml/item1.xml"/><Relationship Id="rId36" Type="http://schemas.openxmlformats.org/officeDocument/2006/relationships/customXml" Target="../customXml/item2.xml"/><Relationship Id="rId37" Type="http://schemas.openxmlformats.org/officeDocument/2006/relationships/customXml" Target="../customXml/item3.xml"/><Relationship Id="rId38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C0E209C70214AB36FB41B7D4574F2" ma:contentTypeVersion="4" ma:contentTypeDescription="Umožňuje vytvoriť nový dokument." ma:contentTypeScope="" ma:versionID="db6ec5189a3df239a72b717f78bb78ce">
  <xsd:schema xmlns:xsd="http://www.w3.org/2001/XMLSchema" xmlns:xs="http://www.w3.org/2001/XMLSchema" xmlns:p="http://schemas.microsoft.com/office/2006/metadata/properties" xmlns:ns2="85bbda64-0c59-4d32-a943-a4cb4d26fdbd" targetNamespace="http://schemas.microsoft.com/office/2006/metadata/properties" ma:root="true" ma:fieldsID="84ccd82e8e068b25b39100e6ca1e3d3c" ns2:_="">
    <xsd:import namespace="85bbda64-0c59-4d32-a943-a4cb4d26f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bda64-0c59-4d32-a943-a4cb4d26f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2D9F-88C0-47E7-86F0-38931415D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AE0B8-27B1-494A-8F24-6F1ED25FD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D64D1-2D21-44FD-B7EB-203E01EE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bda64-0c59-4d32-a943-a4cb4d26f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95EDB6-AEE6-4D9C-AF06-7C7C716E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LibreOffice/6.2.1.2$Windows_X86_64 LibreOffice_project/7bcb35dc3024a62dea0caee87020152d1ee96e71</Application>
  <Pages>4</Pages>
  <Words>1341</Words>
  <Characters>8594</Characters>
  <CharactersWithSpaces>9772</CharactersWithSpaces>
  <Paragraphs>222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2024-01-30T18:14:00Z</dcterms:created>
  <dc:creator>Martina Džubáková</dc:creator>
  <dc:description/>
  <dc:language>cs-CZ</dc:language>
  <cp:lastModifiedBy/>
  <cp:lastPrinted>2020-10-01T10:01:00Z</cp:lastPrinted>
  <dcterms:modified xsi:type="dcterms:W3CDTF">2024-01-30T21:29:13Z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ntentTypeId">
    <vt:lpwstr>0x01010084CC0E209C70214AB36FB41B7D4574F2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